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BB" w:rsidRDefault="003775BB"/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INFORME DE </w:t>
      </w:r>
      <w:r>
        <w:rPr>
          <w:rFonts w:ascii="Arial Narrow" w:eastAsia="Arial Narrow" w:hAnsi="Arial Narrow" w:cs="Arial Narrow"/>
          <w:b/>
          <w:sz w:val="24"/>
          <w:szCs w:val="24"/>
        </w:rPr>
        <w:t>GESTIÓN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Y EJECUCIÓN PLAN DE DESARROLLO DEPARTAMENTAL 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FF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PERIODO: 1 DE ENERO DE 2016 A 31 DE MARZO DE 2019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EJE 5.  Una Gobernanza para la paz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POLÍTICA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Gobernabilidad con eficacia y eficiencia para una gestión pública moderna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PROGRAMA: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Una gobernanza para la paz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DIRECCIÓN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Financiera de Contabilidad</w:t>
      </w: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3775BB"/>
    <w:tbl>
      <w:tblPr>
        <w:tblStyle w:val="a"/>
        <w:tblW w:w="9010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977"/>
        <w:gridCol w:w="1080"/>
        <w:gridCol w:w="945"/>
        <w:gridCol w:w="932"/>
        <w:gridCol w:w="1281"/>
        <w:gridCol w:w="1281"/>
        <w:gridCol w:w="985"/>
        <w:gridCol w:w="1529"/>
      </w:tblGrid>
      <w:tr w:rsidR="003775BB">
        <w:trPr>
          <w:trHeight w:val="2240"/>
        </w:trPr>
        <w:tc>
          <w:tcPr>
            <w:tcW w:w="977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META DE PRODUCTO</w:t>
            </w:r>
          </w:p>
        </w:tc>
        <w:tc>
          <w:tcPr>
            <w:tcW w:w="1080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CODIGO DE META</w:t>
            </w:r>
          </w:p>
        </w:tc>
        <w:tc>
          <w:tcPr>
            <w:tcW w:w="94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META PROGRAMADA 2019</w:t>
            </w:r>
          </w:p>
        </w:tc>
        <w:tc>
          <w:tcPr>
            <w:tcW w:w="932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AVANCE DE LA META DEL 1 DE MARZO  AL 31 DE MARZO  2019</w:t>
            </w:r>
          </w:p>
        </w:tc>
        <w:tc>
          <w:tcPr>
            <w:tcW w:w="1281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PORCENTAJE ACUMULADO DE EJECUCIÓN FÍSICA DE LA META QUE SE ALCANZÓ DEL 1 DE ENERO A 31 DE MARZO 2019</w:t>
            </w:r>
          </w:p>
        </w:tc>
        <w:tc>
          <w:tcPr>
            <w:tcW w:w="1281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EJECUCIÓN FÍSICA DE META ACUMULADA DESDE  EL 1 DE ENERO DE 2016 A  31 DE MARZO  DE 2019</w:t>
            </w:r>
          </w:p>
        </w:tc>
        <w:tc>
          <w:tcPr>
            <w:tcW w:w="98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VALOR EJECUCIÓN FINANCIERA DE LA META (MILLONESS$$)  DEL 1 DE ENERO DE 2018 AL 31 DE MARZO  2019</w:t>
            </w:r>
          </w:p>
        </w:tc>
        <w:tc>
          <w:tcPr>
            <w:tcW w:w="1529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PORCENTAJE DE EJECUCIÓN FINANCIERA DE LA META DEL 1 DE ENERO AL 31 DE MARZO 2019</w:t>
            </w:r>
          </w:p>
        </w:tc>
      </w:tr>
      <w:tr w:rsidR="003775BB">
        <w:trPr>
          <w:trHeight w:val="76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000000"/>
                <w:sz w:val="14"/>
                <w:szCs w:val="12"/>
              </w:rPr>
              <w:t>100% DE ESTADOS FINANCIEROS DEPURADOS.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000000"/>
                <w:sz w:val="14"/>
                <w:szCs w:val="12"/>
              </w:rPr>
              <w:t>E5P12MP37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000000"/>
                <w:sz w:val="14"/>
                <w:szCs w:val="12"/>
              </w:rPr>
              <w:t>0.50%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  <w:highlight w:val="white"/>
              </w:rPr>
            </w:pPr>
            <w:r w:rsidRPr="00CE6AFD">
              <w:rPr>
                <w:rFonts w:ascii="Arial Narrow" w:eastAsia="Arial Narrow" w:hAnsi="Arial Narrow" w:cs="Arial Narrow"/>
                <w:color w:val="000000"/>
                <w:sz w:val="14"/>
                <w:szCs w:val="12"/>
                <w:highlight w:val="white"/>
              </w:rPr>
              <w:t>0,0</w:t>
            </w:r>
            <w:r w:rsidRPr="00CE6AFD">
              <w:rPr>
                <w:rFonts w:ascii="Arial Narrow" w:eastAsia="Arial Narrow" w:hAnsi="Arial Narrow" w:cs="Arial Narrow"/>
                <w:sz w:val="14"/>
                <w:szCs w:val="12"/>
                <w:highlight w:val="white"/>
              </w:rPr>
              <w:t>42</w:t>
            </w:r>
            <w:r w:rsidRPr="00CE6AFD">
              <w:rPr>
                <w:rFonts w:ascii="Arial Narrow" w:eastAsia="Arial Narrow" w:hAnsi="Arial Narrow" w:cs="Arial Narrow"/>
                <w:color w:val="000000"/>
                <w:sz w:val="14"/>
                <w:szCs w:val="12"/>
                <w:highlight w:val="white"/>
              </w:rPr>
              <w:t>%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  <w:highlight w:val="white"/>
              </w:rPr>
            </w:pPr>
            <w:r w:rsidRPr="00CE6AFD">
              <w:rPr>
                <w:rFonts w:ascii="Arial Narrow" w:eastAsia="Arial Narrow" w:hAnsi="Arial Narrow" w:cs="Arial Narrow"/>
                <w:color w:val="000000"/>
                <w:sz w:val="14"/>
                <w:szCs w:val="12"/>
                <w:highlight w:val="white"/>
              </w:rPr>
              <w:t>0,</w:t>
            </w:r>
            <w:r w:rsidRPr="00CE6AFD">
              <w:rPr>
                <w:rFonts w:ascii="Arial Narrow" w:eastAsia="Arial Narrow" w:hAnsi="Arial Narrow" w:cs="Arial Narrow"/>
                <w:sz w:val="14"/>
                <w:szCs w:val="12"/>
                <w:highlight w:val="white"/>
              </w:rPr>
              <w:t>125</w:t>
            </w:r>
            <w:r w:rsidRPr="00CE6AFD">
              <w:rPr>
                <w:rFonts w:ascii="Arial Narrow" w:eastAsia="Arial Narrow" w:hAnsi="Arial Narrow" w:cs="Arial Narrow"/>
                <w:color w:val="000000"/>
                <w:sz w:val="14"/>
                <w:szCs w:val="12"/>
                <w:highlight w:val="white"/>
              </w:rPr>
              <w:t>%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99,</w:t>
            </w:r>
            <w:r w:rsidRPr="00CE6AFD">
              <w:rPr>
                <w:rFonts w:ascii="Arial Narrow" w:eastAsia="Arial Narrow" w:hAnsi="Arial Narrow" w:cs="Arial Narrow"/>
                <w:sz w:val="14"/>
                <w:szCs w:val="12"/>
              </w:rPr>
              <w:t>62</w:t>
            </w:r>
            <w:r w:rsidRPr="00CE6AFD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%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sz w:val="14"/>
                <w:szCs w:val="12"/>
              </w:rPr>
              <w:t>426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sz w:val="14"/>
                <w:szCs w:val="12"/>
              </w:rPr>
              <w:t> </w:t>
            </w:r>
          </w:p>
        </w:tc>
      </w:tr>
    </w:tbl>
    <w:p w:rsidR="003775BB" w:rsidRDefault="003775BB"/>
    <w:p w:rsidR="00CE6AFD" w:rsidRDefault="00CE6AFD"/>
    <w:p w:rsidR="00CE6AFD" w:rsidRDefault="00CE6AFD"/>
    <w:p w:rsidR="003775BB" w:rsidRDefault="003775BB">
      <w:pPr>
        <w:rPr>
          <w:rFonts w:ascii="Arial" w:eastAsia="Arial" w:hAnsi="Arial" w:cs="Arial"/>
        </w:rPr>
      </w:pPr>
    </w:p>
    <w:p w:rsidR="003775BB" w:rsidRPr="00CE6AFD" w:rsidRDefault="00081F69">
      <w:pPr>
        <w:jc w:val="both"/>
        <w:rPr>
          <w:rFonts w:ascii="Arial Narrow" w:eastAsia="Arial Narrow" w:hAnsi="Arial Narrow" w:cs="Arial Narrow"/>
          <w:color w:val="FF0000"/>
          <w:sz w:val="24"/>
          <w:szCs w:val="24"/>
        </w:rPr>
      </w:pPr>
      <w:r w:rsidRPr="00CE6AFD">
        <w:rPr>
          <w:rFonts w:ascii="Arial Narrow" w:eastAsia="Arial Narrow" w:hAnsi="Arial Narrow" w:cs="Arial Narrow"/>
          <w:sz w:val="24"/>
          <w:szCs w:val="24"/>
        </w:rPr>
        <w:t>Por lo anterior a la fecha hemos alcanzado el avance  de la meta del periodo 01 de Marzo al  31 de Marzo de 2019 con un porcentaje</w:t>
      </w:r>
      <w:r w:rsidRPr="00CE6AFD">
        <w:rPr>
          <w:rFonts w:ascii="Arial Narrow" w:eastAsia="Arial Narrow" w:hAnsi="Arial Narrow" w:cs="Arial Narrow"/>
          <w:sz w:val="24"/>
          <w:szCs w:val="24"/>
          <w:highlight w:val="white"/>
        </w:rPr>
        <w:t xml:space="preserve">  0.042%, la ejecución  física  de meta acumulada  desde el 1 de enero del 2019 a  31 de Marzo de 2019, es igual a un 0,125% y logrando  el acumulado de la ejecución  física de la meta alcanzada  del 1 de enero 2016 al 31 de Marzo del 2019 de un 99,62%, el valor ejecutado  financieramente  de la meta es  $ 426.748.649 correspondiente a los contratos </w:t>
      </w:r>
      <w:r w:rsidRPr="00CE6AFD">
        <w:rPr>
          <w:rFonts w:ascii="Arial Narrow" w:eastAsia="Arial Narrow" w:hAnsi="Arial Narrow" w:cs="Arial Narrow"/>
          <w:sz w:val="24"/>
          <w:szCs w:val="24"/>
        </w:rPr>
        <w:t>de prestación de servicios suscritos para la ejecución de la misma, durante los meses de Enero a Marzo de 2019.</w:t>
      </w:r>
    </w:p>
    <w:p w:rsidR="003775BB" w:rsidRDefault="003775BB"/>
    <w:p w:rsidR="00CE6AFD" w:rsidRDefault="00CE6AFD"/>
    <w:p w:rsidR="00CE6AFD" w:rsidRDefault="00CE6AFD"/>
    <w:p w:rsidR="00CE6AFD" w:rsidRDefault="00CE6AFD"/>
    <w:p w:rsidR="00CE6AFD" w:rsidRDefault="00CE6AFD"/>
    <w:p w:rsidR="003775BB" w:rsidRDefault="003775BB">
      <w:pPr>
        <w:rPr>
          <w:sz w:val="24"/>
          <w:szCs w:val="24"/>
        </w:rPr>
      </w:pP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PRINCIPALES LOGROS Y ACTIVIDADES DE LA DIRECCIÓN FINANCIERA DE CONTABILIDAD.</w:t>
      </w: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En el período comprendido entre el 1 de Enero y el 31 de Marzo de 2019 son:</w:t>
      </w:r>
    </w:p>
    <w:p w:rsidR="003775BB" w:rsidRDefault="003775BB">
      <w:pPr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Depuración contable de Cifras reflejadas en los Estados Financieros de Enero 1 a Marzo 31 del año 2019, con funcionarios de la Dirección.</w:t>
      </w: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Preparación, Revisión, Elaboración y Publicación de Estados Financieros correspondientes a los meses de Enero y Febrero del año 2019.</w:t>
      </w: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Revisión de Estados Financieros de las Entidades Descentralizadas,</w:t>
      </w:r>
      <w:r w:rsidR="008D1DA7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correspondientes a los meses de Enero y Febrero del año 2019 :</w:t>
      </w:r>
    </w:p>
    <w:p w:rsidR="003775BB" w:rsidRDefault="003775BB">
      <w:pPr>
        <w:ind w:left="720"/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Fábrica de Licores del Tolima.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Lotería del Tolima.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EGETSA S.A.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EDAT S.A. E.S.P.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z w:val="24"/>
          <w:szCs w:val="24"/>
        </w:rPr>
        <w:t>Indep</w:t>
      </w:r>
      <w:bookmarkStart w:id="0" w:name="_GoBack"/>
      <w:bookmarkEnd w:id="0"/>
      <w:r>
        <w:rPr>
          <w:rFonts w:ascii="Arial Narrow" w:eastAsia="Arial Narrow" w:hAnsi="Arial Narrow" w:cs="Arial Narrow"/>
          <w:sz w:val="24"/>
          <w:szCs w:val="24"/>
        </w:rPr>
        <w:t>ortes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.</w:t>
      </w:r>
    </w:p>
    <w:p w:rsidR="003775BB" w:rsidRDefault="003775BB">
      <w:pPr>
        <w:rPr>
          <w:rFonts w:ascii="Arial Narrow" w:eastAsia="Arial Narrow" w:hAnsi="Arial Narrow" w:cs="Arial Narrow"/>
        </w:rPr>
      </w:pPr>
    </w:p>
    <w:p w:rsidR="003775BB" w:rsidRDefault="00081F69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Se realizaron mesas de trabajo con el personal adscrito a la Dirección Financiera de Contabilidad para analizar, revisar, unificar criterios y mejorar el trabajo realizado en lo corrido del año 2019 en materia contable, con el fin de mejorar en la preparación, elaboración y entrega de los diferentes informes financieros a</w:t>
      </w:r>
      <w:r w:rsidR="00CE6AFD">
        <w:rPr>
          <w:rFonts w:ascii="Arial Narrow" w:eastAsia="Arial Narrow" w:hAnsi="Arial Narrow" w:cs="Arial Narrow"/>
          <w:sz w:val="24"/>
          <w:szCs w:val="24"/>
        </w:rPr>
        <w:t xml:space="preserve"> los diferentes entes de control.</w:t>
      </w:r>
    </w:p>
    <w:p w:rsidR="00CE6AFD" w:rsidRDefault="00CE6AF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081F69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Anexa fotos reunión</w:t>
      </w:r>
    </w:p>
    <w:p w:rsidR="00CE6AFD" w:rsidRDefault="00CE6AF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775BB" w:rsidRPr="00CE6AFD" w:rsidRDefault="00081F69" w:rsidP="00CE6AFD">
      <w:pPr>
        <w:jc w:val="both"/>
        <w:rPr>
          <w:rFonts w:ascii="Arial" w:eastAsia="Arial" w:hAnsi="Arial" w:cs="Arial"/>
        </w:rPr>
      </w:pPr>
      <w:r>
        <w:rPr>
          <w:noProof/>
          <w:lang w:val="es-CO"/>
        </w:rPr>
        <w:drawing>
          <wp:inline distT="0" distB="0" distL="114300" distR="114300">
            <wp:extent cx="5610225" cy="297116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971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75BB" w:rsidRDefault="003775BB">
      <w:pPr>
        <w:tabs>
          <w:tab w:val="left" w:pos="3450"/>
        </w:tabs>
      </w:pPr>
    </w:p>
    <w:p w:rsidR="003775BB" w:rsidRDefault="003775BB">
      <w:pPr>
        <w:tabs>
          <w:tab w:val="left" w:pos="3450"/>
        </w:tabs>
      </w:pPr>
    </w:p>
    <w:p w:rsidR="003775BB" w:rsidRDefault="00081F69">
      <w:pPr>
        <w:tabs>
          <w:tab w:val="left" w:pos="3450"/>
        </w:tabs>
      </w:pPr>
      <w:r>
        <w:rPr>
          <w:noProof/>
          <w:lang w:val="es-CO"/>
        </w:rPr>
        <w:drawing>
          <wp:inline distT="0" distB="0" distL="114300" distR="114300">
            <wp:extent cx="5613400" cy="313944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3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75BB" w:rsidRDefault="003775BB">
      <w:pPr>
        <w:jc w:val="both"/>
        <w:rPr>
          <w:rFonts w:ascii="Arial" w:eastAsia="Arial" w:hAnsi="Arial" w:cs="Arial"/>
        </w:rPr>
      </w:pPr>
    </w:p>
    <w:p w:rsidR="003775BB" w:rsidRDefault="003775BB">
      <w:pPr>
        <w:jc w:val="both"/>
        <w:rPr>
          <w:rFonts w:ascii="Arial" w:eastAsia="Arial" w:hAnsi="Arial" w:cs="Arial"/>
        </w:rPr>
      </w:pPr>
    </w:p>
    <w:p w:rsidR="003775BB" w:rsidRDefault="003775BB">
      <w:pPr>
        <w:jc w:val="both"/>
        <w:rPr>
          <w:rFonts w:ascii="Arial" w:eastAsia="Arial" w:hAnsi="Arial" w:cs="Arial"/>
        </w:rPr>
      </w:pPr>
    </w:p>
    <w:p w:rsidR="003775BB" w:rsidRDefault="003775BB">
      <w:pPr>
        <w:jc w:val="both"/>
        <w:rPr>
          <w:rFonts w:ascii="Arial" w:eastAsia="Arial" w:hAnsi="Arial" w:cs="Arial"/>
        </w:rPr>
      </w:pPr>
    </w:p>
    <w:p w:rsidR="003775BB" w:rsidRDefault="00081F6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:rsidR="003775BB" w:rsidRDefault="003775BB">
      <w:pPr>
        <w:jc w:val="both"/>
        <w:rPr>
          <w:rFonts w:ascii="Arial" w:eastAsia="Arial" w:hAnsi="Arial" w:cs="Arial"/>
        </w:rPr>
      </w:pPr>
    </w:p>
    <w:p w:rsidR="003775BB" w:rsidRDefault="003775BB">
      <w:pPr>
        <w:jc w:val="both"/>
        <w:rPr>
          <w:rFonts w:ascii="Arial" w:eastAsia="Arial" w:hAnsi="Arial" w:cs="Arial"/>
        </w:rPr>
      </w:pPr>
    </w:p>
    <w:p w:rsidR="003775BB" w:rsidRDefault="003775BB">
      <w:pPr>
        <w:rPr>
          <w:rFonts w:ascii="Arial" w:eastAsia="Arial" w:hAnsi="Arial" w:cs="Arial"/>
          <w:sz w:val="22"/>
          <w:szCs w:val="22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JAVIER </w:t>
      </w:r>
      <w:r>
        <w:rPr>
          <w:rFonts w:ascii="Arial" w:eastAsia="Arial" w:hAnsi="Arial" w:cs="Arial"/>
          <w:b/>
          <w:sz w:val="24"/>
          <w:szCs w:val="24"/>
        </w:rPr>
        <w:t>GONZÁLEZ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MOSQUERA</w:t>
      </w: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Director Financiero de Contabilidad</w:t>
      </w:r>
    </w:p>
    <w:sectPr w:rsidR="003775BB">
      <w:headerReference w:type="default" r:id="rId9"/>
      <w:footerReference w:type="default" r:id="rId10"/>
      <w:pgSz w:w="12242" w:h="15842"/>
      <w:pgMar w:top="1361" w:right="170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BFC" w:rsidRDefault="005B3BFC">
      <w:r>
        <w:separator/>
      </w:r>
    </w:p>
  </w:endnote>
  <w:endnote w:type="continuationSeparator" w:id="0">
    <w:p w:rsidR="005B3BFC" w:rsidRDefault="005B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5BB" w:rsidRDefault="0008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“Soluciones que Transforman”</w:t>
    </w:r>
  </w:p>
  <w:p w:rsidR="003775BB" w:rsidRDefault="0008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Edificio Gobernación del Tolima, Carrera 3ª entre Calles 10 y 11. Piso 5</w:t>
    </w:r>
  </w:p>
  <w:p w:rsidR="003775BB" w:rsidRDefault="0008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Web: </w:t>
    </w:r>
    <w:hyperlink r:id="rId1">
      <w:r>
        <w:rPr>
          <w:rFonts w:ascii="Arial" w:eastAsia="Arial" w:hAnsi="Arial" w:cs="Arial"/>
          <w:color w:val="0000FF"/>
          <w:u w:val="single"/>
        </w:rPr>
        <w:t>www.tolima.gov.co</w:t>
      </w:r>
    </w:hyperlink>
    <w:r>
      <w:rPr>
        <w:rFonts w:ascii="Arial" w:eastAsia="Arial" w:hAnsi="Arial" w:cs="Arial"/>
        <w:color w:val="000000"/>
      </w:rPr>
      <w:t xml:space="preserve">  Correo electrónico: cielo.guayara</w:t>
    </w:r>
    <w:hyperlink r:id="rId2">
      <w:r>
        <w:rPr>
          <w:rFonts w:ascii="Arial" w:eastAsia="Arial" w:hAnsi="Arial" w:cs="Arial"/>
          <w:color w:val="0000FF"/>
          <w:u w:val="single"/>
        </w:rPr>
        <w:t>@tolima.gov.co</w:t>
      </w:r>
    </w:hyperlink>
    <w:r>
      <w:rPr>
        <w:rFonts w:ascii="Arial" w:eastAsia="Arial" w:hAnsi="Arial" w:cs="Arial"/>
        <w:color w:val="000000"/>
      </w:rPr>
      <w:t xml:space="preserve">. </w:t>
    </w:r>
  </w:p>
  <w:p w:rsidR="003775BB" w:rsidRDefault="0008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Teléfono: (8) 2611111, extensión 1512. Teléfono (8) 2612450 Código Postal 730006</w:t>
    </w:r>
  </w:p>
  <w:p w:rsidR="003775BB" w:rsidRDefault="0008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Ibagué, Tolima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BFC" w:rsidRDefault="005B3BFC">
      <w:r>
        <w:separator/>
      </w:r>
    </w:p>
  </w:footnote>
  <w:footnote w:type="continuationSeparator" w:id="0">
    <w:p w:rsidR="005B3BFC" w:rsidRDefault="005B3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5BB" w:rsidRDefault="0008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omic Sans MS" w:eastAsia="Comic Sans MS" w:hAnsi="Comic Sans MS" w:cs="Comic Sans MS"/>
        <w:color w:val="767171"/>
      </w:rPr>
    </w:pPr>
    <w:r>
      <w:rPr>
        <w:noProof/>
        <w:lang w:val="es-CO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104776</wp:posOffset>
          </wp:positionH>
          <wp:positionV relativeFrom="paragraph">
            <wp:posOffset>183515</wp:posOffset>
          </wp:positionV>
          <wp:extent cx="760095" cy="89662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3012" r="-4217"/>
                  <a:stretch>
                    <a:fillRect/>
                  </a:stretch>
                </pic:blipFill>
                <pic:spPr>
                  <a:xfrm>
                    <a:off x="0" y="0"/>
                    <a:ext cx="760095" cy="896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775BB" w:rsidRDefault="0008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767171"/>
        <w:sz w:val="24"/>
        <w:szCs w:val="24"/>
      </w:rPr>
    </w:pPr>
    <w:r>
      <w:rPr>
        <w:color w:val="767171"/>
      </w:rPr>
      <w:tab/>
    </w:r>
  </w:p>
  <w:p w:rsidR="003775BB" w:rsidRDefault="0008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GOBERNACIÓN DEL TOLIMA</w:t>
    </w:r>
  </w:p>
  <w:p w:rsidR="003775BB" w:rsidRDefault="00081F69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NIT: 800.113.6727</w:t>
    </w:r>
  </w:p>
  <w:p w:rsidR="003775BB" w:rsidRDefault="0008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SECRETARIA DE HACIENDA</w:t>
    </w:r>
  </w:p>
  <w:p w:rsidR="003775BB" w:rsidRDefault="00081F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Dirección Financiera de Contabilidad</w:t>
    </w:r>
  </w:p>
  <w:p w:rsidR="003775BB" w:rsidRDefault="003775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3EC0"/>
    <w:multiLevelType w:val="multilevel"/>
    <w:tmpl w:val="2D767B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E3D0BCA"/>
    <w:multiLevelType w:val="multilevel"/>
    <w:tmpl w:val="E4C26F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BB"/>
    <w:rsid w:val="00081F69"/>
    <w:rsid w:val="003775BB"/>
    <w:rsid w:val="005B3BFC"/>
    <w:rsid w:val="008D1DA7"/>
    <w:rsid w:val="00C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1C0280-8D52-484E-A2F9-78649D5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6AF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xxxxx@tolima.gov.co" TargetMode="External"/><Relationship Id="rId1" Type="http://schemas.openxmlformats.org/officeDocument/2006/relationships/hyperlink" Target="http://www.tolim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 MARULANDA SAAVEDRA</cp:lastModifiedBy>
  <cp:revision>3</cp:revision>
  <cp:lastPrinted>2019-04-29T20:36:00Z</cp:lastPrinted>
  <dcterms:created xsi:type="dcterms:W3CDTF">2019-04-29T20:34:00Z</dcterms:created>
  <dcterms:modified xsi:type="dcterms:W3CDTF">2019-04-29T21:38:00Z</dcterms:modified>
</cp:coreProperties>
</file>